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关于组织我校</w:t>
      </w:r>
      <w:r>
        <w:rPr>
          <w:rFonts w:hint="eastAsia"/>
          <w:b/>
          <w:sz w:val="36"/>
          <w:szCs w:val="36"/>
        </w:rPr>
        <w:t>教师参加国家教育行政学院网络培训</w:t>
      </w:r>
      <w:r>
        <w:rPr>
          <w:rFonts w:hint="eastAsia"/>
          <w:b/>
          <w:sz w:val="36"/>
          <w:szCs w:val="36"/>
          <w:lang w:eastAsia="zh-CN"/>
        </w:rPr>
        <w:t>报名工作的通知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各二级学院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根据国家教育行政学院《关于开展2020年下半年高等学校党员、干部和教师系列网络培训的通知》（国教院函字[2020]20号）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为深入贯彻习近平总书记在全国教育大会上的重要讲话精神，使我校教师厚植教育情怀、坚定理想信念、弘扬高尚师德、提升教书育人和教育教学改革创新能力，现组织我校教师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参加国家教育行政学院网络培训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，具体通知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培训时间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2020年12月20日-2021年3月1日。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培训内容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此次网络培训中涉及到高校教师教学能力提升的板块有四个，根据我校实际，选择《大学教师教学教法》《打造大学金课，建设一流本科课程》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二个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专题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开展培训，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专题40学时。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培训对象及课程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 从事教学工作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不足五年（含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五年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的教师须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参加《大学教师教学教法》课程培训。（课程表见附件一）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教研室主任（含教研室副主任）、专业带头人须参加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《打造大学金课，建设一流本科课程》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培训。（课程表见附件二）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3.每个学院除以上人员外有两个机动名额，可分配给优秀教师或骨干教师参加。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 参加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培训的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教师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必须完成规定的学时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数。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 培训结束后从事教学工作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不足五年（含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的教师统一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参加考试测评。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3.培训结束后组织教研室主任、专业带头人等进行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专题研讨交流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 完成规定培训时长并在考试测评中成绩合格者方可参加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后续的其他培训。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培训组织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本次培训由国家教育行政学院组织，教师教学发展中心具体负责培训的考勤、成绩记录及归档工作（培训相关内容统一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记录在教师培训档案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中）。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六、其他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教师培训是师资建设的重要环节，更是推进我校教育教学持续健康发展的重要保障，各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二级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学院要认真组织符合条件的教师报名，根据通知要求填写报名表（见附件三、四）。电子版报名表发送至邮箱htyjsjxfzzx@163.com，纸质版报名表需加盖部门公章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交至教师教学发展中心（尚德楼710室），报名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截止日期：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2020年11月23 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联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系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人：韩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15245109069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附件一：《大学教师教学教法》专题课程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附件二：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《打造大学金课，建设一流本科课程》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专题课程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附件三：《大学教师教学教法》培训报名表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附件四：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《打造大学金课，建设一流本科课程》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培训报名表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教师教学发展中心</w:t>
      </w:r>
    </w:p>
    <w:p>
      <w:pPr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2020年11月16日</w:t>
      </w:r>
    </w:p>
    <w:p>
      <w:pPr>
        <w:rPr>
          <w:rFonts w:hint="eastAsia"/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85AD2A"/>
    <w:multiLevelType w:val="singleLevel"/>
    <w:tmpl w:val="C485AD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2E"/>
    <w:rsid w:val="000211F2"/>
    <w:rsid w:val="002765D6"/>
    <w:rsid w:val="006D5CCE"/>
    <w:rsid w:val="007913F3"/>
    <w:rsid w:val="00C03707"/>
    <w:rsid w:val="00D01930"/>
    <w:rsid w:val="00EB40F5"/>
    <w:rsid w:val="00F13E2E"/>
    <w:rsid w:val="00FB2481"/>
    <w:rsid w:val="01BE7496"/>
    <w:rsid w:val="0EF965EB"/>
    <w:rsid w:val="0F681D99"/>
    <w:rsid w:val="10534FB1"/>
    <w:rsid w:val="10CF12DF"/>
    <w:rsid w:val="171972DE"/>
    <w:rsid w:val="19EF6007"/>
    <w:rsid w:val="1A9F54AD"/>
    <w:rsid w:val="1B5941A4"/>
    <w:rsid w:val="25EA7887"/>
    <w:rsid w:val="26923FF7"/>
    <w:rsid w:val="2A251F5E"/>
    <w:rsid w:val="2E6852D5"/>
    <w:rsid w:val="306D70C0"/>
    <w:rsid w:val="31A45794"/>
    <w:rsid w:val="31B877D6"/>
    <w:rsid w:val="3B0C0715"/>
    <w:rsid w:val="43E57B38"/>
    <w:rsid w:val="45BB5110"/>
    <w:rsid w:val="484369C1"/>
    <w:rsid w:val="4E803DE4"/>
    <w:rsid w:val="501A299D"/>
    <w:rsid w:val="598740AB"/>
    <w:rsid w:val="60585A6F"/>
    <w:rsid w:val="6BA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18417C-BD30-49EF-93C1-E18DDEC7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77</Words>
  <Characters>440</Characters>
  <Lines>3</Lines>
  <Paragraphs>1</Paragraphs>
  <TotalTime>38</TotalTime>
  <ScaleCrop>false</ScaleCrop>
  <LinksUpToDate>false</LinksUpToDate>
  <CharactersWithSpaces>516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2020-11-02T08:19:00Z</dcterms:created>
  <dc:creator>Lenovo</dc:creator>
  <lastModifiedBy>冰～（≧∇≦）</lastModifiedBy>
  <lastPrinted>2020-11-02T08:19:00Z</lastPrinted>
  <dcterms:modified xsi:type="dcterms:W3CDTF">2020-11-16T07:55:16Z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